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eastAsia="Times New Roman"/>
          <w:b/>
          <w:b/>
          <w:bCs/>
          <w:sz w:val="24"/>
          <w:szCs w:val="24"/>
          <w:lang w:val="en-US" w:eastAsia="el-GR"/>
        </w:rPr>
      </w:pPr>
      <w:r>
        <w:rPr>
          <w:rFonts w:eastAsia="Times New Roman" w:ascii="Times New Roman" w:hAnsi="Times New Roman"/>
          <w:b/>
          <w:bCs/>
          <w:sz w:val="24"/>
          <w:szCs w:val="24"/>
          <w:lang w:eastAsia="el-GR"/>
        </w:rPr>
        <w:t>ΕΛΜΕ Κέρκυρας</w:t>
        <w:tab/>
        <w:tab/>
        <w:tab/>
        <w:tab/>
        <w:tab/>
        <w:tab/>
        <w:tab/>
        <w:tab/>
        <w:tab/>
        <w:t xml:space="preserve">Κέρκυρα, </w:t>
      </w:r>
      <w:r>
        <w:rPr>
          <w:rFonts w:eastAsia="Times New Roman" w:ascii="Times New Roman" w:hAnsi="Times New Roman"/>
          <w:b/>
          <w:bCs/>
          <w:sz w:val="24"/>
          <w:szCs w:val="24"/>
          <w:lang w:eastAsia="el-GR"/>
        </w:rPr>
        <w:t>7</w:t>
      </w:r>
      <w:r>
        <w:rPr>
          <w:rFonts w:eastAsia="Times New Roman" w:ascii="Times New Roman" w:hAnsi="Times New Roman"/>
          <w:b/>
          <w:bCs/>
          <w:sz w:val="24"/>
          <w:szCs w:val="24"/>
          <w:lang w:eastAsia="el-GR"/>
        </w:rPr>
        <w:t>/7</w:t>
      </w:r>
      <w:r>
        <w:rPr>
          <w:rFonts w:eastAsia="Times New Roman" w:ascii="Times New Roman" w:hAnsi="Times New Roman"/>
          <w:b/>
          <w:bCs/>
          <w:sz w:val="24"/>
          <w:szCs w:val="24"/>
          <w:lang w:val="en-US" w:eastAsia="el-GR"/>
        </w:rPr>
        <w:t>/2020</w:t>
      </w:r>
    </w:p>
    <w:tbl>
      <w:tblPr>
        <w:tblW w:w="5000" w:type="pct"/>
        <w:jc w:val="left"/>
        <w:tblInd w:w="0" w:type="dxa"/>
        <w:tblCellMar>
          <w:top w:w="0" w:type="dxa"/>
          <w:left w:w="0" w:type="dxa"/>
          <w:bottom w:w="0" w:type="dxa"/>
          <w:right w:w="0" w:type="dxa"/>
        </w:tblCellMar>
        <w:tblLook w:val="04a0" w:noHBand="0" w:noVBand="1" w:firstColumn="1" w:lastRow="0" w:lastColumn="0" w:firstRow="1"/>
      </w:tblPr>
      <w:tblGrid>
        <w:gridCol w:w="10773"/>
      </w:tblGrid>
      <w:tr>
        <w:trPr/>
        <w:tc>
          <w:tcPr>
            <w:tcW w:w="10773" w:type="dxa"/>
            <w:tcBorders/>
            <w:shd w:color="auto" w:fill="auto" w:val="clear"/>
          </w:tcPr>
          <w:p>
            <w:pPr>
              <w:pStyle w:val="Normal"/>
              <w:suppressAutoHyphens w:val="false"/>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t>Οδός Ευαγγέλου Ναπολέοντος 12</w:t>
            </w:r>
          </w:p>
        </w:tc>
      </w:tr>
      <w:tr>
        <w:trPr/>
        <w:tc>
          <w:tcPr>
            <w:tcW w:w="10773" w:type="dxa"/>
            <w:tcBorders/>
            <w:shd w:color="auto" w:fill="auto" w:val="clear"/>
          </w:tcPr>
          <w:p>
            <w:pPr>
              <w:pStyle w:val="Normal"/>
              <w:suppressAutoHyphens w:val="false"/>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t>Κέρκυρα</w:t>
            </w:r>
          </w:p>
        </w:tc>
      </w:tr>
      <w:tr>
        <w:trPr/>
        <w:tc>
          <w:tcPr>
            <w:tcW w:w="10773" w:type="dxa"/>
            <w:tcBorders/>
            <w:shd w:color="auto" w:fill="auto" w:val="clear"/>
          </w:tcPr>
          <w:p>
            <w:pPr>
              <w:pStyle w:val="Normal"/>
              <w:suppressAutoHyphens w:val="false"/>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t>Τ.Κ. 49100</w:t>
            </w:r>
          </w:p>
          <w:p>
            <w:pPr>
              <w:pStyle w:val="Normal"/>
              <w:suppressAutoHyphens w:val="false"/>
              <w:spacing w:lineRule="auto" w:line="240" w:before="0" w:after="0"/>
              <w:rPr/>
            </w:pPr>
            <w:r>
              <w:rPr>
                <w:rFonts w:eastAsia="Times New Roman" w:ascii="Times New Roman" w:hAnsi="Times New Roman"/>
                <w:sz w:val="24"/>
                <w:szCs w:val="24"/>
                <w:lang w:eastAsia="el-GR"/>
              </w:rPr>
              <w:t xml:space="preserve">Ιστοσελίδα: </w:t>
            </w:r>
            <w:r>
              <w:rPr>
                <w:rFonts w:eastAsia="Times New Roman" w:ascii="Times New Roman" w:hAnsi="Times New Roman"/>
                <w:sz w:val="24"/>
                <w:szCs w:val="24"/>
                <w:lang w:val="en-US" w:eastAsia="el-GR"/>
              </w:rPr>
              <w:t>elmekerkyras</w:t>
            </w:r>
            <w:r>
              <w:rPr>
                <w:rFonts w:eastAsia="Times New Roman" w:ascii="Times New Roman" w:hAnsi="Times New Roman"/>
                <w:sz w:val="24"/>
                <w:szCs w:val="24"/>
                <w:lang w:eastAsia="el-GR"/>
              </w:rPr>
              <w:t>.</w:t>
            </w:r>
            <w:r>
              <w:rPr>
                <w:rFonts w:eastAsia="Times New Roman" w:ascii="Times New Roman" w:hAnsi="Times New Roman"/>
                <w:sz w:val="24"/>
                <w:szCs w:val="24"/>
                <w:lang w:val="en-US" w:eastAsia="el-GR"/>
              </w:rPr>
              <w:t>gr</w:t>
            </w:r>
          </w:p>
          <w:p>
            <w:pPr>
              <w:pStyle w:val="Normal"/>
              <w:suppressAutoHyphens w:val="false"/>
              <w:spacing w:lineRule="auto" w:line="240" w:before="0" w:after="0"/>
              <w:rPr/>
            </w:pPr>
            <w:r>
              <w:rPr>
                <w:rFonts w:eastAsia="Times New Roman" w:ascii="Times New Roman" w:hAnsi="Times New Roman"/>
                <w:sz w:val="24"/>
                <w:szCs w:val="24"/>
                <w:lang w:val="en-US" w:eastAsia="el-GR"/>
              </w:rPr>
              <w:t>e</w:t>
            </w:r>
            <w:r>
              <w:rPr>
                <w:rFonts w:eastAsia="Times New Roman" w:ascii="Times New Roman" w:hAnsi="Times New Roman"/>
                <w:sz w:val="24"/>
                <w:szCs w:val="24"/>
                <w:lang w:eastAsia="el-GR"/>
              </w:rPr>
              <w:t>-</w:t>
            </w:r>
            <w:r>
              <w:rPr>
                <w:rFonts w:eastAsia="Times New Roman" w:ascii="Times New Roman" w:hAnsi="Times New Roman"/>
                <w:sz w:val="24"/>
                <w:szCs w:val="24"/>
                <w:lang w:val="en-US" w:eastAsia="el-GR"/>
              </w:rPr>
              <w:t>mail</w:t>
            </w:r>
            <w:r>
              <w:rPr>
                <w:rFonts w:eastAsia="Times New Roman" w:ascii="Times New Roman" w:hAnsi="Times New Roman"/>
                <w:sz w:val="24"/>
                <w:szCs w:val="24"/>
                <w:lang w:eastAsia="el-GR"/>
              </w:rPr>
              <w:t xml:space="preserve">: </w:t>
            </w:r>
            <w:hyperlink r:id="rId2">
              <w:r>
                <w:rPr>
                  <w:rStyle w:val="InternetLink"/>
                  <w:rFonts w:eastAsia="Times New Roman" w:ascii="Times New Roman" w:hAnsi="Times New Roman"/>
                  <w:sz w:val="24"/>
                  <w:szCs w:val="24"/>
                  <w:lang w:val="en-US" w:eastAsia="el-GR"/>
                </w:rPr>
                <w:t>elmekerkyras</w:t>
              </w:r>
              <w:r>
                <w:rPr>
                  <w:rStyle w:val="InternetLink"/>
                  <w:rFonts w:eastAsia="Times New Roman" w:ascii="Times New Roman" w:hAnsi="Times New Roman"/>
                  <w:sz w:val="24"/>
                  <w:szCs w:val="24"/>
                  <w:lang w:eastAsia="el-GR"/>
                </w:rPr>
                <w:t>@</w:t>
              </w:r>
              <w:r>
                <w:rPr>
                  <w:rStyle w:val="InternetLink"/>
                  <w:rFonts w:eastAsia="Times New Roman" w:ascii="Times New Roman" w:hAnsi="Times New Roman"/>
                  <w:sz w:val="24"/>
                  <w:szCs w:val="24"/>
                  <w:lang w:val="en-US" w:eastAsia="el-GR"/>
                </w:rPr>
                <w:t>gmail</w:t>
              </w:r>
              <w:r>
                <w:rPr>
                  <w:rStyle w:val="InternetLink"/>
                  <w:rFonts w:eastAsia="Times New Roman" w:ascii="Times New Roman" w:hAnsi="Times New Roman"/>
                  <w:sz w:val="24"/>
                  <w:szCs w:val="24"/>
                  <w:lang w:eastAsia="el-GR"/>
                </w:rPr>
                <w:t>.</w:t>
              </w:r>
              <w:r>
                <w:rPr>
                  <w:rStyle w:val="InternetLink"/>
                  <w:rFonts w:eastAsia="Times New Roman" w:ascii="Times New Roman" w:hAnsi="Times New Roman"/>
                  <w:sz w:val="24"/>
                  <w:szCs w:val="24"/>
                  <w:lang w:val="en-US" w:eastAsia="el-GR"/>
                </w:rPr>
                <w:t>com</w:t>
              </w:r>
            </w:hyperlink>
          </w:p>
          <w:p>
            <w:pPr>
              <w:pStyle w:val="Normal"/>
              <w:suppressAutoHyphens w:val="false"/>
              <w:spacing w:lineRule="auto" w:line="240" w:before="0" w:after="0"/>
              <w:rPr/>
            </w:pPr>
            <w:r>
              <w:rPr>
                <w:rFonts w:eastAsia="Times New Roman" w:ascii="Times New Roman" w:hAnsi="Times New Roman"/>
                <w:sz w:val="24"/>
                <w:szCs w:val="24"/>
                <w:lang w:eastAsia="el-GR"/>
              </w:rPr>
              <w:t xml:space="preserve">Σελίδα στο </w:t>
            </w:r>
            <w:r>
              <w:rPr>
                <w:rFonts w:eastAsia="Times New Roman" w:ascii="Times New Roman" w:hAnsi="Times New Roman"/>
                <w:sz w:val="24"/>
                <w:szCs w:val="24"/>
                <w:lang w:val="en-US" w:eastAsia="el-GR"/>
              </w:rPr>
              <w:t>Facebook</w:t>
            </w:r>
            <w:r>
              <w:rPr>
                <w:rFonts w:eastAsia="Times New Roman" w:ascii="Times New Roman" w:hAnsi="Times New Roman"/>
                <w:sz w:val="24"/>
                <w:szCs w:val="24"/>
                <w:lang w:eastAsia="el-GR"/>
              </w:rPr>
              <w:t xml:space="preserve">: </w:t>
            </w:r>
            <w:hyperlink r:id="rId3">
              <w:r>
                <w:rPr>
                  <w:rStyle w:val="InternetLink"/>
                  <w:rFonts w:eastAsia="Times New Roman" w:ascii="Times New Roman" w:hAnsi="Times New Roman"/>
                  <w:sz w:val="24"/>
                  <w:szCs w:val="24"/>
                  <w:lang w:val="en-US" w:eastAsia="el-GR"/>
                </w:rPr>
                <w:t>https</w:t>
              </w:r>
              <w:r>
                <w:rPr>
                  <w:rStyle w:val="InternetLink"/>
                  <w:rFonts w:eastAsia="Times New Roman" w:ascii="Times New Roman" w:hAnsi="Times New Roman"/>
                  <w:sz w:val="24"/>
                  <w:szCs w:val="24"/>
                  <w:lang w:eastAsia="el-GR"/>
                </w:rPr>
                <w:t>://</w:t>
              </w:r>
              <w:r>
                <w:rPr>
                  <w:rStyle w:val="InternetLink"/>
                  <w:rFonts w:eastAsia="Times New Roman" w:ascii="Times New Roman" w:hAnsi="Times New Roman"/>
                  <w:sz w:val="24"/>
                  <w:szCs w:val="24"/>
                  <w:lang w:val="en-US" w:eastAsia="el-GR"/>
                </w:rPr>
                <w:t>www</w:t>
              </w:r>
              <w:r>
                <w:rPr>
                  <w:rStyle w:val="InternetLink"/>
                  <w:rFonts w:eastAsia="Times New Roman" w:ascii="Times New Roman" w:hAnsi="Times New Roman"/>
                  <w:sz w:val="24"/>
                  <w:szCs w:val="24"/>
                  <w:lang w:eastAsia="el-GR"/>
                </w:rPr>
                <w:t>.</w:t>
              </w:r>
              <w:r>
                <w:rPr>
                  <w:rStyle w:val="InternetLink"/>
                  <w:rFonts w:eastAsia="Times New Roman" w:ascii="Times New Roman" w:hAnsi="Times New Roman"/>
                  <w:sz w:val="24"/>
                  <w:szCs w:val="24"/>
                  <w:lang w:val="en-US" w:eastAsia="el-GR"/>
                </w:rPr>
                <w:t>facebook</w:t>
              </w:r>
              <w:r>
                <w:rPr>
                  <w:rStyle w:val="InternetLink"/>
                  <w:rFonts w:eastAsia="Times New Roman" w:ascii="Times New Roman" w:hAnsi="Times New Roman"/>
                  <w:sz w:val="24"/>
                  <w:szCs w:val="24"/>
                  <w:lang w:eastAsia="el-GR"/>
                </w:rPr>
                <w:t>.</w:t>
              </w:r>
              <w:r>
                <w:rPr>
                  <w:rStyle w:val="InternetLink"/>
                  <w:rFonts w:eastAsia="Times New Roman" w:ascii="Times New Roman" w:hAnsi="Times New Roman"/>
                  <w:sz w:val="24"/>
                  <w:szCs w:val="24"/>
                  <w:lang w:val="en-US" w:eastAsia="el-GR"/>
                </w:rPr>
                <w:t>com</w:t>
              </w:r>
              <w:r>
                <w:rPr>
                  <w:rStyle w:val="InternetLink"/>
                  <w:rFonts w:eastAsia="Times New Roman" w:ascii="Times New Roman" w:hAnsi="Times New Roman"/>
                  <w:sz w:val="24"/>
                  <w:szCs w:val="24"/>
                  <w:lang w:eastAsia="el-GR"/>
                </w:rPr>
                <w:t>/</w:t>
              </w:r>
              <w:r>
                <w:rPr>
                  <w:rStyle w:val="InternetLink"/>
                  <w:rFonts w:eastAsia="Times New Roman" w:ascii="Times New Roman" w:hAnsi="Times New Roman"/>
                  <w:sz w:val="24"/>
                  <w:szCs w:val="24"/>
                  <w:lang w:val="en-US" w:eastAsia="el-GR"/>
                </w:rPr>
                <w:t>elmekerkyras</w:t>
              </w:r>
              <w:r>
                <w:rPr>
                  <w:rStyle w:val="InternetLink"/>
                  <w:rFonts w:eastAsia="Times New Roman" w:ascii="Times New Roman" w:hAnsi="Times New Roman"/>
                  <w:sz w:val="24"/>
                  <w:szCs w:val="24"/>
                  <w:lang w:eastAsia="el-GR"/>
                </w:rPr>
                <w:t>/</w:t>
              </w:r>
            </w:hyperlink>
          </w:p>
          <w:p>
            <w:pPr>
              <w:pStyle w:val="Normal"/>
              <w:suppressAutoHyphens w:val="false"/>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r>
          </w:p>
        </w:tc>
      </w:tr>
    </w:tbl>
    <w:p>
      <w:pPr>
        <w:pStyle w:val="Normal"/>
        <w:jc w:val="center"/>
        <w:rPr>
          <w:b/>
          <w:b/>
          <w:bCs/>
        </w:rPr>
      </w:pPr>
      <w:r>
        <w:rPr>
          <w:b/>
          <w:bCs/>
        </w:rPr>
        <w:t>Δελτίο Τύπου</w:t>
      </w:r>
    </w:p>
    <w:p>
      <w:pPr>
        <w:pStyle w:val="Normal"/>
        <w:jc w:val="both"/>
        <w:rPr>
          <w:sz w:val="20"/>
          <w:szCs w:val="20"/>
        </w:rPr>
      </w:pPr>
      <w:r>
        <w:rPr>
          <w:sz w:val="20"/>
          <w:szCs w:val="20"/>
        </w:rPr>
        <w:t>Πλατιά σύσκεψη σωματείων και συλλογικοτήτων, πραγματοποίησε η ΕΛΜΕ Κέρκυρας τη Δευτέρα το απόγευμα στο Εργατικό Κέντρο με αφορμή την επίσκεψη του πρωθυπουργού το Σάββατο.</w:t>
      </w:r>
      <w:r>
        <w:rPr>
          <w:rFonts w:cs="Arial" w:ascii="Arial" w:hAnsi="Arial"/>
          <w:color w:val="000000"/>
          <w:lang w:eastAsia="en-US"/>
        </w:rPr>
        <w:t xml:space="preserve"> </w:t>
      </w:r>
      <w:r>
        <w:rPr>
          <w:sz w:val="20"/>
          <w:szCs w:val="20"/>
        </w:rPr>
        <w:t>Μια επίσκεψη, η οποία γίνεται για να τονώσει τη «βαριά βιομηχανία» της χώρας, τον τουρισμό, να υποσχεθεί νέα οφέλη στο κεφάλαιο του τουρισμού, να διαβεβαιώσει ότι θα κάνει  ότι μπορεί -αυτός και η κυβέρνησή του- για να ανακτήσουν τα κέρδη τους αλλά και ότι τίποτα δε θα εμποδίσει την απρόσκοπτη λειτουργία των επιχειρήσεών τους. Παράλληλα, έρχεται για να καθησυχάσει τους επενδυτικούς κολοσσούς, ότι η ιδιωτικοποίηση  τόσο του Ερημίτη, όσο και άλλων «φιλέτων», στην Κέρκυρα, αλλά και στην υπόλοιπη Ελλάδα θα συνεχιστεί χωρίς προβλήματα.</w:t>
      </w:r>
    </w:p>
    <w:p>
      <w:pPr>
        <w:pStyle w:val="Normal"/>
        <w:jc w:val="both"/>
        <w:rPr>
          <w:sz w:val="20"/>
          <w:szCs w:val="20"/>
        </w:rPr>
      </w:pPr>
      <w:r>
        <w:rPr>
          <w:sz w:val="20"/>
          <w:szCs w:val="20"/>
        </w:rPr>
        <w:t>Στη σύσκεψη τονίστηκε η ανάγκη να οργανωθεί ο αγώνας των εργαζομένων ενάντια στην αντιλαϊκή πολιτική που φέρνει μαζί του ο πρωθυπουργός. Μια πολιτική που προλαμβάνει την ολοένα και μεγαλύτερη ενίσχυση των μεγάλων επιχειρηματικών ομίλων, την εξαθλίωση των εργαζομένων, την υποβάθμιση των δημοσίων αγαθών της υγείας και της παιδείας, την ιδιωτικοποίηση δημόσιας περιουσίας. Κι όλα αυτά έρχεται να τα ντύσει με το νόμο για τον περιορισμό των διαδηλώσεων, ώστε να μη σηκώνουν κεφάλι που εργαζόμενοι, να μην αντιδρούν, να μην οργανώνονται.</w:t>
      </w:r>
    </w:p>
    <w:p>
      <w:pPr>
        <w:pStyle w:val="Normal"/>
        <w:jc w:val="both"/>
        <w:rPr>
          <w:sz w:val="20"/>
          <w:szCs w:val="20"/>
        </w:rPr>
      </w:pPr>
      <w:r>
        <w:rPr>
          <w:sz w:val="20"/>
          <w:szCs w:val="20"/>
        </w:rPr>
        <w:t>Τονίστηκε η ανάγκη για κλιμάκωση των κινητοποιήσεων και αποφασίστηκε το πρόγραμμα δράσης:</w:t>
      </w:r>
    </w:p>
    <w:p>
      <w:pPr>
        <w:pStyle w:val="ListParagraph"/>
        <w:numPr>
          <w:ilvl w:val="0"/>
          <w:numId w:val="1"/>
        </w:numPr>
        <w:jc w:val="both"/>
        <w:rPr>
          <w:b/>
          <w:b/>
          <w:bCs/>
        </w:rPr>
      </w:pPr>
      <w:r>
        <w:rPr>
          <w:b/>
          <w:bCs/>
          <w:sz w:val="20"/>
          <w:szCs w:val="20"/>
        </w:rPr>
        <w:t>Πέμπτη, 9 Ιουλίου, στις 12 μ.μ., στη Νομαρχία συνέντευξη τύπου για την ιδιωτικοποίηση του Ερημίτη</w:t>
      </w:r>
    </w:p>
    <w:p>
      <w:pPr>
        <w:pStyle w:val="ListParagraph"/>
        <w:numPr>
          <w:ilvl w:val="0"/>
          <w:numId w:val="1"/>
        </w:numPr>
        <w:jc w:val="both"/>
        <w:rPr>
          <w:b/>
          <w:b/>
          <w:bCs/>
        </w:rPr>
      </w:pPr>
      <w:r>
        <w:rPr>
          <w:b/>
          <w:bCs/>
          <w:sz w:val="20"/>
          <w:szCs w:val="20"/>
        </w:rPr>
        <w:t>Πέμπτη, 9 Ιουλίου, στις 7:30 μ.μ, στην Ανουντσιάτα, συλλαλητήριο ενάντια στο νόμο για τον περιορισμό των διαδηλώσεων</w:t>
      </w:r>
    </w:p>
    <w:p>
      <w:pPr>
        <w:pStyle w:val="ListParagraph"/>
        <w:numPr>
          <w:ilvl w:val="0"/>
          <w:numId w:val="1"/>
        </w:numPr>
        <w:jc w:val="both"/>
        <w:rPr>
          <w:b/>
          <w:b/>
          <w:bCs/>
        </w:rPr>
      </w:pPr>
      <w:r>
        <w:rPr>
          <w:b/>
          <w:bCs/>
          <w:sz w:val="20"/>
          <w:szCs w:val="20"/>
        </w:rPr>
        <w:t>Παρασκευή, 10 Ιουλίου, στις 12 μ.μ. συνέντευξη τύπου των σωματείων για την επίσκεψη Μητσοτάκη</w:t>
      </w:r>
    </w:p>
    <w:p>
      <w:pPr>
        <w:pStyle w:val="ListParagraph"/>
        <w:numPr>
          <w:ilvl w:val="0"/>
          <w:numId w:val="1"/>
        </w:numPr>
        <w:jc w:val="both"/>
        <w:rPr>
          <w:b/>
          <w:b/>
          <w:bCs/>
        </w:rPr>
      </w:pPr>
      <w:r>
        <w:rPr>
          <w:b/>
          <w:bCs/>
          <w:sz w:val="20"/>
          <w:szCs w:val="20"/>
        </w:rPr>
        <w:t>Σάββατο, 11 Ιουλίου, στις 11 π.μ. στην πόρτα Ριάλα συλλαλητήριο «υποδοχής» του πρωθυπουργού.</w:t>
      </w:r>
    </w:p>
    <w:p>
      <w:pPr>
        <w:pStyle w:val="ListParagraph"/>
        <w:numPr>
          <w:ilvl w:val="0"/>
          <w:numId w:val="1"/>
        </w:numPr>
        <w:jc w:val="both"/>
        <w:rPr>
          <w:b/>
          <w:b/>
          <w:bCs/>
        </w:rPr>
      </w:pPr>
      <w:r>
        <w:rPr>
          <w:b/>
          <w:bCs/>
          <w:sz w:val="20"/>
          <w:szCs w:val="20"/>
        </w:rPr>
        <w:t>Σάββατο, 11 Ιουλίου, στις 5 μ.μ.  στην Ελαιουργία στις Σινιές, συγκέντρωση ενάντια στην ιδιωτικοποίηση του Ερημίτη.</w:t>
      </w:r>
    </w:p>
    <w:p>
      <w:pPr>
        <w:pStyle w:val="Normal"/>
        <w:ind w:left="360" w:hanging="0"/>
        <w:jc w:val="both"/>
        <w:rPr>
          <w:sz w:val="20"/>
          <w:szCs w:val="20"/>
        </w:rPr>
      </w:pPr>
      <w:r>
        <w:rPr>
          <w:sz w:val="20"/>
          <w:szCs w:val="20"/>
        </w:rPr>
        <w:t>Στη σύσκεψη συμμετείχαν:</w:t>
      </w:r>
    </w:p>
    <w:p>
      <w:pPr>
        <w:sectPr>
          <w:type w:val="nextPage"/>
          <w:pgSz w:w="12240" w:h="15840"/>
          <w:pgMar w:left="709" w:right="758" w:header="0" w:top="709" w:footer="0" w:bottom="709" w:gutter="0"/>
          <w:pgNumType w:fmt="decimal"/>
          <w:formProt w:val="false"/>
          <w:textDirection w:val="lrTb"/>
          <w:docGrid w:type="default" w:linePitch="360" w:charSpace="8192"/>
        </w:sectPr>
      </w:pPr>
    </w:p>
    <w:p>
      <w:pPr>
        <w:pStyle w:val="ListParagraph"/>
        <w:numPr>
          <w:ilvl w:val="0"/>
          <w:numId w:val="2"/>
        </w:numPr>
        <w:jc w:val="both"/>
        <w:rPr>
          <w:sz w:val="20"/>
          <w:szCs w:val="20"/>
        </w:rPr>
      </w:pPr>
      <w:r>
        <w:rPr>
          <w:sz w:val="20"/>
          <w:szCs w:val="20"/>
        </w:rPr>
        <w:t>ΕΛΜΕ Κέρκυρας</w:t>
      </w:r>
    </w:p>
    <w:p>
      <w:pPr>
        <w:pStyle w:val="ListParagraph"/>
        <w:numPr>
          <w:ilvl w:val="0"/>
          <w:numId w:val="2"/>
        </w:numPr>
        <w:jc w:val="both"/>
        <w:rPr>
          <w:sz w:val="20"/>
          <w:szCs w:val="20"/>
        </w:rPr>
      </w:pPr>
      <w:r>
        <w:rPr>
          <w:sz w:val="20"/>
          <w:szCs w:val="20"/>
        </w:rPr>
        <w:t>ΣΕΠΕ Κέρκυρας</w:t>
      </w:r>
    </w:p>
    <w:p>
      <w:pPr>
        <w:pStyle w:val="ListParagraph"/>
        <w:numPr>
          <w:ilvl w:val="0"/>
          <w:numId w:val="2"/>
        </w:numPr>
        <w:jc w:val="both"/>
        <w:rPr>
          <w:sz w:val="20"/>
          <w:szCs w:val="20"/>
        </w:rPr>
      </w:pPr>
      <w:r>
        <w:rPr>
          <w:sz w:val="20"/>
          <w:szCs w:val="20"/>
        </w:rPr>
        <w:t xml:space="preserve">Συνδικάτο </w:t>
      </w:r>
      <w:r>
        <w:rPr>
          <w:sz w:val="20"/>
          <w:szCs w:val="20"/>
        </w:rPr>
        <w:t>Ο</w:t>
      </w:r>
      <w:r>
        <w:rPr>
          <w:sz w:val="20"/>
          <w:szCs w:val="20"/>
        </w:rPr>
        <w:t>ικοδόμων Κέρκυρας</w:t>
      </w:r>
    </w:p>
    <w:p>
      <w:pPr>
        <w:pStyle w:val="ListParagraph"/>
        <w:numPr>
          <w:ilvl w:val="0"/>
          <w:numId w:val="2"/>
        </w:numPr>
        <w:jc w:val="both"/>
        <w:rPr>
          <w:sz w:val="20"/>
          <w:szCs w:val="20"/>
        </w:rPr>
      </w:pPr>
      <w:r>
        <w:rPr>
          <w:sz w:val="20"/>
          <w:szCs w:val="20"/>
        </w:rPr>
        <w:t>Συνδικάτο Ξενοδοχοϋπαλλήλων Κέρκυρας</w:t>
      </w:r>
    </w:p>
    <w:p>
      <w:pPr>
        <w:pStyle w:val="ListParagraph"/>
        <w:numPr>
          <w:ilvl w:val="0"/>
          <w:numId w:val="2"/>
        </w:numPr>
        <w:jc w:val="both"/>
        <w:rPr>
          <w:sz w:val="20"/>
          <w:szCs w:val="20"/>
        </w:rPr>
      </w:pPr>
      <w:r>
        <w:rPr>
          <w:sz w:val="20"/>
          <w:szCs w:val="20"/>
        </w:rPr>
        <w:t>Κερκυραϊκός Σύνδεσμος Ιδιωτικών Υπαλλήλων</w:t>
      </w:r>
    </w:p>
    <w:p>
      <w:pPr>
        <w:pStyle w:val="ListParagraph"/>
        <w:numPr>
          <w:ilvl w:val="0"/>
          <w:numId w:val="2"/>
        </w:numPr>
        <w:jc w:val="both"/>
        <w:rPr>
          <w:sz w:val="20"/>
          <w:szCs w:val="20"/>
        </w:rPr>
      </w:pPr>
      <w:r>
        <w:rPr>
          <w:sz w:val="20"/>
          <w:szCs w:val="20"/>
        </w:rPr>
        <w:t>Ν.Τ. ΑΔΕΔΥ Κέρκυρας</w:t>
      </w:r>
    </w:p>
    <w:p>
      <w:pPr>
        <w:pStyle w:val="ListParagraph"/>
        <w:numPr>
          <w:ilvl w:val="0"/>
          <w:numId w:val="2"/>
        </w:numPr>
        <w:jc w:val="both"/>
        <w:rPr>
          <w:sz w:val="20"/>
          <w:szCs w:val="20"/>
        </w:rPr>
      </w:pPr>
      <w:r>
        <w:rPr>
          <w:sz w:val="20"/>
          <w:szCs w:val="20"/>
        </w:rPr>
        <w:t>Ένωση Συλλόγων Γονέων και Κηδεμόνων Κέρκυρας</w:t>
      </w:r>
    </w:p>
    <w:p>
      <w:pPr>
        <w:pStyle w:val="ListParagraph"/>
        <w:numPr>
          <w:ilvl w:val="0"/>
          <w:numId w:val="2"/>
        </w:numPr>
        <w:jc w:val="both"/>
        <w:rPr>
          <w:sz w:val="20"/>
          <w:szCs w:val="20"/>
        </w:rPr>
      </w:pPr>
      <w:r>
        <w:rPr>
          <w:sz w:val="20"/>
          <w:szCs w:val="20"/>
        </w:rPr>
        <w:t>ΟΓΕ – Ομάδα Γυναικών Βόρειας Κέρκυρας</w:t>
      </w:r>
    </w:p>
    <w:p>
      <w:pPr>
        <w:pStyle w:val="ListParagraph"/>
        <w:numPr>
          <w:ilvl w:val="0"/>
          <w:numId w:val="2"/>
        </w:numPr>
        <w:jc w:val="both"/>
        <w:rPr>
          <w:sz w:val="20"/>
          <w:szCs w:val="20"/>
        </w:rPr>
      </w:pPr>
      <w:r>
        <w:rPr>
          <w:sz w:val="20"/>
          <w:szCs w:val="20"/>
        </w:rPr>
        <w:t>Οικιστές – Δικαιούχοι Εργατικών Κατοικιών Αγ. Ιωάννη Κέρκυρας</w:t>
      </w:r>
    </w:p>
    <w:p>
      <w:pPr>
        <w:pStyle w:val="ListParagraph"/>
        <w:numPr>
          <w:ilvl w:val="0"/>
          <w:numId w:val="2"/>
        </w:numPr>
        <w:jc w:val="both"/>
        <w:rPr>
          <w:sz w:val="20"/>
          <w:szCs w:val="20"/>
        </w:rPr>
      </w:pPr>
      <w:r>
        <w:rPr>
          <w:sz w:val="20"/>
          <w:szCs w:val="20"/>
        </w:rPr>
        <w:t>Κίνηση Ερημίτης</w:t>
      </w:r>
    </w:p>
    <w:p>
      <w:pPr>
        <w:pStyle w:val="ListParagraph"/>
        <w:numPr>
          <w:ilvl w:val="0"/>
          <w:numId w:val="2"/>
        </w:numPr>
        <w:jc w:val="both"/>
        <w:rPr>
          <w:sz w:val="20"/>
          <w:szCs w:val="20"/>
        </w:rPr>
      </w:pPr>
      <w:r>
        <w:rPr>
          <w:sz w:val="20"/>
          <w:szCs w:val="20"/>
          <w:lang w:val="en-US"/>
        </w:rPr>
        <w:t>Fossil Free Corfu</w:t>
      </w:r>
    </w:p>
    <w:p>
      <w:pPr>
        <w:pStyle w:val="ListParagraph"/>
        <w:numPr>
          <w:ilvl w:val="0"/>
          <w:numId w:val="2"/>
        </w:numPr>
        <w:jc w:val="both"/>
        <w:rPr>
          <w:sz w:val="20"/>
          <w:szCs w:val="20"/>
        </w:rPr>
      </w:pPr>
      <w:r>
        <w:rPr>
          <w:sz w:val="20"/>
          <w:szCs w:val="20"/>
        </w:rPr>
        <w:t>Σύλλογος Προστασίας Περιβάλλοντος</w:t>
      </w:r>
    </w:p>
    <w:p>
      <w:pPr>
        <w:pStyle w:val="ListParagraph"/>
        <w:numPr>
          <w:ilvl w:val="0"/>
          <w:numId w:val="2"/>
        </w:numPr>
        <w:jc w:val="both"/>
        <w:rPr>
          <w:sz w:val="20"/>
          <w:szCs w:val="20"/>
        </w:rPr>
      </w:pPr>
      <w:r>
        <w:rPr>
          <w:sz w:val="20"/>
          <w:szCs w:val="20"/>
        </w:rPr>
        <w:t>«Ας Δράσουμε Κέρκυρα»</w:t>
      </w:r>
    </w:p>
    <w:p>
      <w:pPr>
        <w:pStyle w:val="ListParagraph"/>
        <w:numPr>
          <w:ilvl w:val="0"/>
          <w:numId w:val="0"/>
        </w:numPr>
        <w:ind w:left="1440" w:hanging="0"/>
        <w:jc w:val="both"/>
        <w:rPr>
          <w:b/>
          <w:b/>
          <w:bCs/>
        </w:rPr>
      </w:pPr>
      <w:r>
        <w:rPr>
          <w:b/>
          <w:bCs/>
          <w:sz w:val="20"/>
          <w:szCs w:val="20"/>
        </w:rPr>
        <w:t>Περιφερειακές και Δημοτικές Παρατάξεις</w:t>
      </w:r>
    </w:p>
    <w:p>
      <w:pPr>
        <w:pStyle w:val="ListParagraph"/>
        <w:numPr>
          <w:ilvl w:val="0"/>
          <w:numId w:val="2"/>
        </w:numPr>
        <w:jc w:val="both"/>
        <w:rPr>
          <w:sz w:val="20"/>
          <w:szCs w:val="20"/>
        </w:rPr>
      </w:pPr>
      <w:r>
        <w:rPr>
          <w:sz w:val="20"/>
          <w:szCs w:val="20"/>
        </w:rPr>
        <w:t>Αντικαπιταλιστική Αριστερά στο Ιόνιο</w:t>
      </w:r>
    </w:p>
    <w:p>
      <w:pPr>
        <w:pStyle w:val="ListParagraph"/>
        <w:numPr>
          <w:ilvl w:val="0"/>
          <w:numId w:val="2"/>
        </w:numPr>
        <w:jc w:val="both"/>
        <w:rPr>
          <w:sz w:val="20"/>
          <w:szCs w:val="20"/>
        </w:rPr>
      </w:pPr>
      <w:r>
        <w:rPr>
          <w:sz w:val="20"/>
          <w:szCs w:val="20"/>
        </w:rPr>
        <w:t>Πορεία προς το Βοριά</w:t>
      </w:r>
    </w:p>
    <w:p>
      <w:pPr>
        <w:pStyle w:val="ListParagraph"/>
        <w:numPr>
          <w:ilvl w:val="0"/>
          <w:numId w:val="2"/>
        </w:numPr>
        <w:jc w:val="both"/>
        <w:rPr>
          <w:sz w:val="20"/>
          <w:szCs w:val="20"/>
        </w:rPr>
      </w:pPr>
      <w:r>
        <w:rPr>
          <w:rFonts w:ascii="sanstext" w:hAnsi="sanstext"/>
          <w:b w:val="false"/>
          <w:i w:val="false"/>
          <w:caps w:val="false"/>
          <w:smallCaps w:val="false"/>
          <w:color w:val="242424"/>
          <w:spacing w:val="0"/>
          <w:sz w:val="20"/>
          <w:szCs w:val="20"/>
        </w:rPr>
        <w:t>Κερκυραϊκή Αναγέννηση</w:t>
      </w:r>
    </w:p>
    <w:p>
      <w:pPr>
        <w:pStyle w:val="ListParagraph"/>
        <w:numPr>
          <w:ilvl w:val="0"/>
          <w:numId w:val="2"/>
        </w:numPr>
        <w:jc w:val="both"/>
        <w:rPr>
          <w:sz w:val="20"/>
          <w:szCs w:val="20"/>
        </w:rPr>
      </w:pPr>
      <w:r>
        <w:rPr>
          <w:sz w:val="20"/>
          <w:szCs w:val="20"/>
        </w:rPr>
        <w:t>Κέρκυρα 180</w:t>
      </w:r>
      <w:r>
        <w:rPr>
          <w:sz w:val="20"/>
          <w:szCs w:val="20"/>
          <w:vertAlign w:val="superscript"/>
        </w:rPr>
        <w:t>ο</w:t>
      </w:r>
    </w:p>
    <w:p>
      <w:pPr>
        <w:pStyle w:val="ListParagraph"/>
        <w:numPr>
          <w:ilvl w:val="0"/>
          <w:numId w:val="2"/>
        </w:numPr>
        <w:jc w:val="both"/>
        <w:rPr>
          <w:sz w:val="20"/>
          <w:szCs w:val="20"/>
        </w:rPr>
      </w:pPr>
      <w:r>
        <w:rPr>
          <w:sz w:val="20"/>
          <w:szCs w:val="20"/>
        </w:rPr>
        <w:t>Εκκίνηση</w:t>
      </w:r>
    </w:p>
    <w:p>
      <w:pPr>
        <w:pStyle w:val="ListParagraph"/>
        <w:numPr>
          <w:ilvl w:val="0"/>
          <w:numId w:val="2"/>
        </w:numPr>
        <w:jc w:val="both"/>
        <w:rPr>
          <w:sz w:val="20"/>
          <w:szCs w:val="20"/>
        </w:rPr>
      </w:pPr>
      <w:r>
        <w:rPr>
          <w:sz w:val="20"/>
          <w:szCs w:val="20"/>
        </w:rPr>
        <w:t>Λαϊκή Συσπείρωση</w:t>
      </w:r>
    </w:p>
    <w:p>
      <w:pPr>
        <w:sectPr>
          <w:type w:val="continuous"/>
          <w:pgSz w:w="12240" w:h="15840"/>
          <w:pgMar w:left="709" w:right="213" w:header="0" w:top="709" w:footer="0" w:bottom="709" w:gutter="0"/>
          <w:cols w:num="2" w:equalWidth="false" w:sep="false">
            <w:col w:w="5048" w:space="682"/>
            <w:col w:w="5587"/>
          </w:cols>
          <w:formProt w:val="false"/>
          <w:textDirection w:val="lrTb"/>
          <w:docGrid w:type="default" w:linePitch="360" w:charSpace="8192"/>
        </w:sectPr>
      </w:pPr>
    </w:p>
    <w:p>
      <w:pPr>
        <w:pStyle w:val="Normal"/>
        <w:spacing w:before="0" w:after="160"/>
        <w:ind w:left="360" w:hanging="0"/>
        <w:jc w:val="both"/>
        <w:rPr>
          <w:sz w:val="20"/>
          <w:szCs w:val="20"/>
        </w:rPr>
      </w:pPr>
      <w:r>
        <w:rPr/>
        <w:br/>
      </w:r>
      <w:r>
        <w:rPr/>
        <w:drawing>
          <wp:inline distT="0" distB="0" distL="0" distR="0">
            <wp:extent cx="6657975" cy="11557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4"/>
                    <a:stretch>
                      <a:fillRect/>
                    </a:stretch>
                  </pic:blipFill>
                  <pic:spPr bwMode="auto">
                    <a:xfrm>
                      <a:off x="0" y="0"/>
                      <a:ext cx="6657975" cy="1155700"/>
                    </a:xfrm>
                    <a:prstGeom prst="rect">
                      <a:avLst/>
                    </a:prstGeom>
                  </pic:spPr>
                </pic:pic>
              </a:graphicData>
            </a:graphic>
          </wp:inline>
        </w:drawing>
      </w:r>
    </w:p>
    <w:sectPr>
      <w:type w:val="continuous"/>
      <w:pgSz w:w="12240" w:h="15840"/>
      <w:pgMar w:left="709" w:right="758" w:header="0" w:top="709" w:footer="0" w:bottom="709" w:gutter="0"/>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sanstext">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fea"/>
    <w:pPr>
      <w:widowControl/>
      <w:suppressAutoHyphens w:val="true"/>
      <w:bidi w:val="0"/>
      <w:spacing w:lineRule="auto" w:line="252" w:before="0" w:after="160"/>
      <w:jc w:val="left"/>
    </w:pPr>
    <w:rPr>
      <w:rFonts w:cs="Times New Roman" w:ascii="Calibri" w:hAnsi="Calibri" w:eastAsia="Calibri" w:asciiTheme="minorHAnsi" w:eastAsiaTheme="minorHAnsi" w:hAnsiTheme="minorHAnsi"/>
      <w:color w:val="auto"/>
      <w:kern w:val="0"/>
      <w:sz w:val="22"/>
      <w:szCs w:val="22"/>
      <w:lang w:val="el-GR" w:eastAsia="ar-SA" w:bidi="ar-SA"/>
    </w:rPr>
  </w:style>
  <w:style w:type="character" w:styleId="DefaultParagraphFont" w:default="1">
    <w:name w:val="Default Paragraph Font"/>
    <w:uiPriority w:val="1"/>
    <w:unhideWhenUsed/>
    <w:qFormat/>
    <w:rPr/>
  </w:style>
  <w:style w:type="character" w:styleId="InternetLink" w:customStyle="1">
    <w:name w:val="Hyperlink"/>
    <w:rPr>
      <w:color w:val="00008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1b7512"/>
    <w:pPr>
      <w:suppressAutoHyphens w:val="false"/>
      <w:spacing w:lineRule="auto" w:line="276" w:before="0" w:after="200"/>
      <w:ind w:left="720" w:hanging="0"/>
      <w:contextualSpacing/>
    </w:pPr>
    <w:rPr>
      <w:rFonts w:ascii="Calibri" w:hAnsi="Calibri" w:eastAsia="Calibri"/>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mekerkyras@gmail.com" TargetMode="External"/><Relationship Id="rId3" Type="http://schemas.openxmlformats.org/officeDocument/2006/relationships/hyperlink" Target="https://www.facebook.com/elmekerkyras/" TargetMode="External"/><Relationship Id="rId4" Type="http://schemas.openxmlformats.org/officeDocument/2006/relationships/image" Target="media/image1.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LibreOffice/6.4.4.2$Linux_X86_64 LibreOffice_project/40$Build-2</Application>
  <Pages>2</Pages>
  <Words>387</Words>
  <Characters>2328</Characters>
  <CharactersWithSpaces>2668</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2020-07-07T06:41:00Z</dcterms:created>
  <dc:creator>achilleas</dc:creator>
  <dc:description/>
  <dc:language>en-US</dc:language>
  <cp:lastModifiedBy/>
  <dcterms:modified xsi:type="dcterms:W3CDTF">2020-07-07T18:20:46Z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